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4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文件材料的形成与归档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13：30—17：30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深圳档案中心B座五楼报告厅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- 5 -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D17"/>
    <w:rsid w:val="001A615B"/>
    <w:rsid w:val="001C366A"/>
    <w:rsid w:val="00237864"/>
    <w:rsid w:val="0062216F"/>
    <w:rsid w:val="0063328B"/>
    <w:rsid w:val="009265F1"/>
    <w:rsid w:val="009D5D17"/>
    <w:rsid w:val="04032C0E"/>
    <w:rsid w:val="0D8609C6"/>
    <w:rsid w:val="0F9701F8"/>
    <w:rsid w:val="110C43A8"/>
    <w:rsid w:val="127F2F14"/>
    <w:rsid w:val="18221BDF"/>
    <w:rsid w:val="1B597656"/>
    <w:rsid w:val="1BF00355"/>
    <w:rsid w:val="1D471A5D"/>
    <w:rsid w:val="211E316C"/>
    <w:rsid w:val="34CC3C05"/>
    <w:rsid w:val="35C76F94"/>
    <w:rsid w:val="36F922FE"/>
    <w:rsid w:val="37BD2ECF"/>
    <w:rsid w:val="3BCF179D"/>
    <w:rsid w:val="3DD44AD5"/>
    <w:rsid w:val="41DF4CAE"/>
    <w:rsid w:val="4A5D5518"/>
    <w:rsid w:val="58BA2EF1"/>
    <w:rsid w:val="64E332F6"/>
    <w:rsid w:val="664E3458"/>
    <w:rsid w:val="685B7420"/>
    <w:rsid w:val="6AA740F8"/>
    <w:rsid w:val="6B2B4F3D"/>
    <w:rsid w:val="6FC34157"/>
    <w:rsid w:val="71AD1B9A"/>
    <w:rsid w:val="79D1448B"/>
    <w:rsid w:val="7C6C3589"/>
    <w:rsid w:val="7FA975DA"/>
    <w:rsid w:val="7FEF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1347</Characters>
  <Lines>11</Lines>
  <Paragraphs>3</Paragraphs>
  <TotalTime>2</TotalTime>
  <ScaleCrop>false</ScaleCrop>
  <LinksUpToDate>false</LinksUpToDate>
  <CharactersWithSpaces>1580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2021-09-27T08:22:00Z</dcterms:created>
  <dc:creator>Administrator</dc:creator>
  <cp:lastModifiedBy>傻/玫瑰尛蕊</cp:lastModifiedBy>
  <cp:lastPrinted>2022-05-13T08:49:00Z</cp:lastPrinted>
  <dcterms:modified xsi:type="dcterms:W3CDTF">2022-05-16T03:10:59Z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